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7F" w:rsidRPr="00501913" w:rsidRDefault="00881A7F" w:rsidP="00881A7F">
      <w:pPr>
        <w:pStyle w:val="berschrift1"/>
        <w:rPr>
          <w:rFonts w:ascii="Calibri" w:hAnsi="Calibri"/>
        </w:rPr>
      </w:pPr>
      <w:bookmarkStart w:id="0" w:name="_GoBack"/>
      <w:bookmarkEnd w:id="0"/>
      <w:r w:rsidRPr="00501913">
        <w:rPr>
          <w:rFonts w:ascii="Calibri" w:hAnsi="Calibri"/>
        </w:rPr>
        <w:t>Additional file 1</w:t>
      </w:r>
    </w:p>
    <w:p w:rsidR="00881A7F" w:rsidRPr="00501913" w:rsidRDefault="00881A7F" w:rsidP="00881A7F">
      <w:pPr>
        <w:pStyle w:val="berschrift2"/>
        <w:rPr>
          <w:rFonts w:ascii="Calibri" w:hAnsi="Calibri"/>
        </w:rPr>
      </w:pPr>
      <w:r w:rsidRPr="00501913">
        <w:rPr>
          <w:rFonts w:ascii="Calibri" w:hAnsi="Calibri"/>
        </w:rPr>
        <w:t>Statistical analysis</w:t>
      </w:r>
    </w:p>
    <w:p w:rsidR="00881A7F" w:rsidRPr="00501913" w:rsidRDefault="00881A7F" w:rsidP="00881A7F">
      <w:pPr>
        <w:pStyle w:val="BodyText1"/>
        <w:rPr>
          <w:b/>
        </w:rPr>
      </w:pPr>
      <w:r w:rsidRPr="00501913">
        <w:rPr>
          <w:b/>
        </w:rPr>
        <w:t>Propensity score methodology</w:t>
      </w:r>
    </w:p>
    <w:p w:rsidR="00881A7F" w:rsidRPr="00501913" w:rsidRDefault="00881A7F" w:rsidP="00881A7F">
      <w:pPr>
        <w:pStyle w:val="BodyText1"/>
        <w:rPr>
          <w:lang w:eastAsia="en-GB"/>
        </w:rPr>
      </w:pPr>
      <w:r w:rsidRPr="00501913">
        <w:t xml:space="preserve">The propensity score is the conditional probability of receiving either quetiapine IR or quetiapine XR during hospitalisation, based on a set of known covariates (patient characteristics). Propensity scores were derived with logistic regression. </w:t>
      </w:r>
      <w:r w:rsidRPr="00501913">
        <w:rPr>
          <w:rFonts w:cs="TimesNewRoman"/>
          <w:lang w:eastAsia="en-GB"/>
        </w:rPr>
        <w:t xml:space="preserve">The propensity </w:t>
      </w:r>
      <w:r w:rsidRPr="00501913">
        <w:rPr>
          <w:lang w:eastAsia="en-GB"/>
        </w:rPr>
        <w:t xml:space="preserve">score was either included as a continuous covariate or as a categorical (quintiles) covariate for the analysis of </w:t>
      </w:r>
      <w:r w:rsidRPr="00501913">
        <w:t>LOS</w:t>
      </w:r>
      <w:r w:rsidRPr="00501913">
        <w:rPr>
          <w:lang w:eastAsia="en-GB"/>
        </w:rPr>
        <w:t xml:space="preserve">. For identification of factors related to </w:t>
      </w:r>
      <w:r w:rsidR="004C2E61" w:rsidRPr="00501913">
        <w:rPr>
          <w:lang w:eastAsia="en-GB"/>
        </w:rPr>
        <w:t>length of stay (</w:t>
      </w:r>
      <w:r w:rsidRPr="00501913">
        <w:rPr>
          <w:lang w:eastAsia="en-GB"/>
        </w:rPr>
        <w:t>LOS</w:t>
      </w:r>
      <w:r w:rsidR="004C2E61" w:rsidRPr="00501913">
        <w:rPr>
          <w:lang w:eastAsia="en-GB"/>
        </w:rPr>
        <w:t>)</w:t>
      </w:r>
      <w:r w:rsidRPr="00501913">
        <w:rPr>
          <w:lang w:eastAsia="en-GB"/>
        </w:rPr>
        <w:t xml:space="preserve">, a similar sequential approach to that used for the primary endpoint was followed. </w:t>
      </w:r>
    </w:p>
    <w:p w:rsidR="00881A7F" w:rsidRPr="00501913" w:rsidRDefault="00881A7F" w:rsidP="00881A7F">
      <w:pPr>
        <w:rPr>
          <w:b/>
        </w:rPr>
      </w:pPr>
      <w:r w:rsidRPr="00501913">
        <w:rPr>
          <w:b/>
        </w:rPr>
        <w:t>Multivariate analysis of secondary outcomes</w:t>
      </w:r>
    </w:p>
    <w:p w:rsidR="00881A7F" w:rsidRPr="00501913" w:rsidRDefault="00881A7F" w:rsidP="00881A7F">
      <w:pPr>
        <w:pStyle w:val="BodyText1"/>
      </w:pPr>
      <w:r w:rsidRPr="00501913">
        <w:rPr>
          <w:rFonts w:cs="Arial"/>
          <w:szCs w:val="22"/>
        </w:rPr>
        <w:t xml:space="preserve">The type of model used was prespecified, with characteristics included in the multivariate analysis based on the data. The characteristics considered in the model-fitting process included: site characteristics (type of hospital, type of funding, hospital size); patient demographics (sex, age, years of education, professional status, degree of cohabitation, current alcohol/drug dependence); medical history; disease characteristics (time since first diagnosis, polarity of the episode at diagnosis, number of hospital admissions, number of suicide attempts, number of disease events, time since previous event date); event information (severity of manic event, time from onset to admission, department of admission); and medication use at admission or during hospitalisation. </w:t>
      </w:r>
    </w:p>
    <w:p w:rsidR="00881A7F" w:rsidRPr="00501913" w:rsidRDefault="00881A7F" w:rsidP="00881A7F">
      <w:pPr>
        <w:spacing w:after="0" w:line="480" w:lineRule="auto"/>
        <w:rPr>
          <w:b/>
        </w:rPr>
      </w:pPr>
      <w:r w:rsidRPr="00501913">
        <w:rPr>
          <w:b/>
        </w:rPr>
        <w:t xml:space="preserve">Comparison of LOS in patient subgroups </w:t>
      </w:r>
    </w:p>
    <w:p w:rsidR="00881A7F" w:rsidRPr="00501913" w:rsidRDefault="00881A7F" w:rsidP="00881A7F">
      <w:pPr>
        <w:spacing w:line="480" w:lineRule="auto"/>
        <w:rPr>
          <w:b/>
        </w:rPr>
      </w:pPr>
      <w:r w:rsidRPr="00501913">
        <w:t xml:space="preserve">Estimated differences in the LOS in specific patient subgroups were analysed using zero-truncated negative binomial regression. LOS was compared between cohorts in the following subgroups- </w:t>
      </w:r>
      <w:r w:rsidRPr="00501913">
        <w:rPr>
          <w:i/>
        </w:rPr>
        <w:t>prespecified</w:t>
      </w:r>
      <w:r w:rsidRPr="00501913">
        <w:t xml:space="preserve">: patients receiving monotherapy; patients receiving polytherapy; type of hospital (rural/community hospitals, general/district hospitals, regional/national hospitals); patients admitted for over 60 days; </w:t>
      </w:r>
      <w:r w:rsidRPr="00501913">
        <w:rPr>
          <w:i/>
        </w:rPr>
        <w:t>non-prespecified</w:t>
      </w:r>
      <w:r w:rsidRPr="00501913">
        <w:t xml:space="preserve">: quetiapine dose of 400–800 mg; quetiapine dose </w:t>
      </w:r>
      <w:r w:rsidR="005047F5" w:rsidRPr="00501913">
        <w:br/>
      </w:r>
      <w:r w:rsidRPr="00501913">
        <w:lastRenderedPageBreak/>
        <w:t>&gt;400 mg; patients first admitted to a psychiatric ward. Estimated differences in the incidence of resource use between cohorts were assessed by logistic regression containing factors for cohort and country.</w:t>
      </w:r>
    </w:p>
    <w:p w:rsidR="00881A7F" w:rsidRPr="00501913" w:rsidRDefault="00881A7F"/>
    <w:sectPr w:rsidR="00881A7F" w:rsidRPr="00501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13" w:rsidRDefault="00501913">
      <w:pPr>
        <w:spacing w:after="0" w:line="240" w:lineRule="auto"/>
      </w:pPr>
      <w:r>
        <w:separator/>
      </w:r>
    </w:p>
  </w:endnote>
  <w:endnote w:type="continuationSeparator" w:id="0">
    <w:p w:rsidR="00501913" w:rsidRDefault="0050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13" w:rsidRDefault="00501913">
      <w:pPr>
        <w:spacing w:after="0" w:line="240" w:lineRule="auto"/>
      </w:pPr>
      <w:r>
        <w:separator/>
      </w:r>
    </w:p>
  </w:footnote>
  <w:footnote w:type="continuationSeparator" w:id="0">
    <w:p w:rsidR="00501913" w:rsidRDefault="0050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7F"/>
    <w:rsid w:val="000A750C"/>
    <w:rsid w:val="000D05CB"/>
    <w:rsid w:val="004C2E61"/>
    <w:rsid w:val="00501913"/>
    <w:rsid w:val="005047F5"/>
    <w:rsid w:val="00525B0E"/>
    <w:rsid w:val="00605C40"/>
    <w:rsid w:val="00756F08"/>
    <w:rsid w:val="00881A7F"/>
    <w:rsid w:val="00D8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3F1C7-09F3-4BC6-93D6-1FE6A480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Textkrper"/>
    <w:link w:val="berschrift1Zchn"/>
    <w:qFormat/>
    <w:rsid w:val="00881A7F"/>
    <w:pPr>
      <w:keepNext/>
      <w:spacing w:after="120" w:line="360" w:lineRule="auto"/>
      <w:outlineLvl w:val="0"/>
    </w:pPr>
    <w:rPr>
      <w:rFonts w:ascii="Times New Roman" w:eastAsia="Times New Roman" w:hAnsi="Times New Roman"/>
      <w:b/>
      <w:bCs/>
      <w:sz w:val="36"/>
      <w:szCs w:val="24"/>
    </w:rPr>
  </w:style>
  <w:style w:type="paragraph" w:styleId="berschrift2">
    <w:name w:val="heading 2"/>
    <w:basedOn w:val="Standard"/>
    <w:next w:val="Textkrper"/>
    <w:link w:val="berschrift2Zchn"/>
    <w:qFormat/>
    <w:rsid w:val="00881A7F"/>
    <w:pPr>
      <w:keepNext/>
      <w:spacing w:after="120" w:line="360" w:lineRule="auto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81A7F"/>
    <w:rPr>
      <w:rFonts w:ascii="Times New Roman" w:eastAsia="Times New Roman" w:hAnsi="Times New Roman"/>
      <w:b/>
      <w:bCs/>
      <w:sz w:val="36"/>
      <w:szCs w:val="24"/>
      <w:lang w:eastAsia="en-US"/>
    </w:rPr>
  </w:style>
  <w:style w:type="character" w:customStyle="1" w:styleId="berschrift2Zchn">
    <w:name w:val="Überschrift 2 Zchn"/>
    <w:link w:val="berschrift2"/>
    <w:rsid w:val="00881A7F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customStyle="1" w:styleId="BodyText1">
    <w:name w:val="Body Text1"/>
    <w:basedOn w:val="Textkrper"/>
    <w:link w:val="BodyText1Char"/>
    <w:qFormat/>
    <w:rsid w:val="00881A7F"/>
    <w:pPr>
      <w:spacing w:after="220" w:line="480" w:lineRule="auto"/>
    </w:pPr>
    <w:rPr>
      <w:rFonts w:eastAsia="Times New Roman"/>
      <w:szCs w:val="24"/>
    </w:rPr>
  </w:style>
  <w:style w:type="character" w:customStyle="1" w:styleId="BodyText1Char">
    <w:name w:val="Body Text1 Char"/>
    <w:link w:val="BodyText1"/>
    <w:rsid w:val="00881A7F"/>
    <w:rPr>
      <w:rFonts w:eastAsia="Times New Roman"/>
      <w:sz w:val="22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81A7F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881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Andrews</dc:creator>
  <cp:lastModifiedBy>UB-Mitarbeiter</cp:lastModifiedBy>
  <cp:revision>2</cp:revision>
  <dcterms:created xsi:type="dcterms:W3CDTF">2015-07-17T10:00:00Z</dcterms:created>
  <dcterms:modified xsi:type="dcterms:W3CDTF">2015-07-17T10:00:00Z</dcterms:modified>
</cp:coreProperties>
</file>